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4vzqst7ie0ex" w:id="0"/>
      <w:bookmarkEnd w:id="0"/>
      <w:r w:rsidDel="00000000" w:rsidR="00000000" w:rsidRPr="00000000">
        <w:rPr>
          <w:rtl w:val="0"/>
        </w:rPr>
        <w:t xml:space="preserve">Triggerskema</w:t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5835"/>
        <w:tblGridChange w:id="0">
          <w:tblGrid>
            <w:gridCol w:w="3765"/>
            <w:gridCol w:w="5835"/>
          </w:tblGrid>
        </w:tblGridChange>
      </w:tblGrid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Hvilke ting kan give angst?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Hvilke steder kan give angst?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Hvilke dyr kan give angst?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Hvilke mennesker kan give angst?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Hvilke kropslige fornemmelser kan give angst?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 der noget særligt du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ser</w:t>
            </w:r>
            <w:r w:rsidDel="00000000" w:rsidR="00000000" w:rsidRPr="00000000">
              <w:rPr>
                <w:b w:val="1"/>
                <w:rtl w:val="0"/>
              </w:rPr>
              <w:t xml:space="preserve"> der kan forstærke angsten?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 der noget særligt du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hører </w:t>
            </w:r>
            <w:r w:rsidDel="00000000" w:rsidR="00000000" w:rsidRPr="00000000">
              <w:rPr>
                <w:b w:val="1"/>
                <w:rtl w:val="0"/>
              </w:rPr>
              <w:t xml:space="preserve">der kan forstærke angsten?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Hvilke situationer kan give angst?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Hvad kan gøre angsten værre i situationerne?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Hvilke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billed-tanker</w:t>
            </w:r>
            <w:r w:rsidDel="00000000" w:rsidR="00000000" w:rsidRPr="00000000">
              <w:rPr>
                <w:b w:val="1"/>
                <w:rtl w:val="0"/>
              </w:rPr>
              <w:t xml:space="preserve"> kan give angst?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Hvilke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ord-tanker</w:t>
            </w:r>
            <w:r w:rsidDel="00000000" w:rsidR="00000000" w:rsidRPr="00000000">
              <w:rPr>
                <w:b w:val="1"/>
                <w:rtl w:val="0"/>
              </w:rPr>
              <w:t xml:space="preserve"> kan give angst?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Andet, der kan give angst eller forstærke angst?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  <w:t xml:space="preserve">Opløs angst - hvordan du erstatter angst med tryghed</w:t>
      <w:tab/>
      <w:tab/>
      <w:tab/>
      <w:t xml:space="preserve">©Kim Oechsle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